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6B" w:rsidRDefault="00F5136B" w:rsidP="00BF5297">
      <w:pPr>
        <w:pStyle w:val="1"/>
      </w:pPr>
      <w:bookmarkStart w:id="0" w:name="_GoBack"/>
      <w:bookmarkEnd w:id="0"/>
    </w:p>
    <w:p w:rsidR="00F5136B" w:rsidRDefault="00461E1C" w:rsidP="00BF5297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800100" cy="933450"/>
            <wp:effectExtent l="0" t="0" r="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36B" w:rsidRDefault="00F5136B" w:rsidP="00BF5297"/>
    <w:p w:rsidR="00F5136B" w:rsidRPr="00BF5297" w:rsidRDefault="00F5136B" w:rsidP="00BF5297">
      <w:pPr>
        <w:pStyle w:val="1"/>
        <w:rPr>
          <w:rFonts w:ascii="Times New Roman" w:hAnsi="Times New Roman"/>
          <w:b/>
          <w:sz w:val="32"/>
          <w:szCs w:val="32"/>
        </w:rPr>
      </w:pPr>
      <w:r w:rsidRPr="00BF5297">
        <w:rPr>
          <w:rFonts w:ascii="Times New Roman" w:hAnsi="Times New Roman"/>
          <w:b/>
          <w:sz w:val="32"/>
          <w:szCs w:val="32"/>
        </w:rPr>
        <w:t>Администрация Дивеевского муниципального округа</w:t>
      </w:r>
    </w:p>
    <w:p w:rsidR="00F5136B" w:rsidRDefault="00F5136B" w:rsidP="00BF529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Нижегородской области</w:t>
      </w:r>
    </w:p>
    <w:p w:rsidR="00F5136B" w:rsidRDefault="00F5136B" w:rsidP="00BF5297">
      <w:pPr>
        <w:jc w:val="center"/>
        <w:rPr>
          <w:rFonts w:ascii="Times New Roman" w:hAnsi="Times New Roman"/>
        </w:rPr>
      </w:pPr>
    </w:p>
    <w:p w:rsidR="00F5136B" w:rsidRPr="00BF5297" w:rsidRDefault="00F5136B" w:rsidP="00BF5297">
      <w:pPr>
        <w:pStyle w:val="2"/>
        <w:rPr>
          <w:rFonts w:ascii="Times New Roman" w:hAnsi="Times New Roman"/>
          <w:b/>
          <w:sz w:val="52"/>
          <w:szCs w:val="52"/>
        </w:rPr>
      </w:pPr>
      <w:r w:rsidRPr="00BF5297">
        <w:rPr>
          <w:rFonts w:ascii="Times New Roman" w:hAnsi="Times New Roman"/>
          <w:b/>
          <w:sz w:val="52"/>
          <w:szCs w:val="52"/>
        </w:rPr>
        <w:t>РАСПОРЯЖЕНИЕ</w:t>
      </w:r>
    </w:p>
    <w:tbl>
      <w:tblPr>
        <w:tblW w:w="5003" w:type="pct"/>
        <w:tblLayout w:type="fixed"/>
        <w:tblLook w:val="01E0" w:firstRow="1" w:lastRow="1" w:firstColumn="1" w:lastColumn="1" w:noHBand="0" w:noVBand="0"/>
      </w:tblPr>
      <w:tblGrid>
        <w:gridCol w:w="3369"/>
        <w:gridCol w:w="2324"/>
        <w:gridCol w:w="1196"/>
        <w:gridCol w:w="691"/>
        <w:gridCol w:w="1514"/>
        <w:gridCol w:w="550"/>
      </w:tblGrid>
      <w:tr w:rsidR="00F5136B" w:rsidTr="00BF5297">
        <w:trPr>
          <w:trHeight w:val="350"/>
        </w:trPr>
        <w:tc>
          <w:tcPr>
            <w:tcW w:w="1747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F5136B" w:rsidRPr="00BF5297" w:rsidRDefault="00F5136B">
            <w:pPr>
              <w:tabs>
                <w:tab w:val="right" w:pos="846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529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14 </w:t>
            </w:r>
            <w:r w:rsidRPr="00BF5297">
              <w:rPr>
                <w:rFonts w:ascii="Times New Roman" w:hAnsi="Times New Roman"/>
                <w:b/>
                <w:sz w:val="32"/>
                <w:szCs w:val="32"/>
              </w:rPr>
              <w:t>января 2025 года</w:t>
            </w:r>
          </w:p>
        </w:tc>
        <w:tc>
          <w:tcPr>
            <w:tcW w:w="1205" w:type="pct"/>
            <w:vAlign w:val="bottom"/>
          </w:tcPr>
          <w:p w:rsidR="00F5136B" w:rsidRPr="00BF5297" w:rsidRDefault="00F5136B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F5136B" w:rsidRPr="00BF5297" w:rsidRDefault="00F5136B">
            <w:pPr>
              <w:ind w:right="-39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F5297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F5136B" w:rsidRPr="00BF5297" w:rsidRDefault="00F5136B">
            <w:pPr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F5136B" w:rsidRPr="00BF5297" w:rsidRDefault="00F5136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8-р</w:t>
            </w:r>
          </w:p>
        </w:tc>
        <w:tc>
          <w:tcPr>
            <w:tcW w:w="285" w:type="pct"/>
            <w:vAlign w:val="bottom"/>
          </w:tcPr>
          <w:p w:rsidR="00F5136B" w:rsidRPr="00BF5297" w:rsidRDefault="00F5136B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5136B" w:rsidTr="00BF5297">
        <w:trPr>
          <w:trHeight w:hRule="exact" w:val="211"/>
        </w:trPr>
        <w:tc>
          <w:tcPr>
            <w:tcW w:w="1747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F5136B" w:rsidRDefault="00F5136B">
            <w:pPr>
              <w:tabs>
                <w:tab w:val="right" w:pos="84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5" w:type="pct"/>
            <w:vAlign w:val="center"/>
          </w:tcPr>
          <w:p w:rsidR="00F5136B" w:rsidRDefault="00F513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F5136B" w:rsidRDefault="00F5136B">
            <w:pPr>
              <w:tabs>
                <w:tab w:val="left" w:pos="182"/>
              </w:tabs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27" w:type="pct"/>
            <w:gridSpan w:val="3"/>
            <w:vAlign w:val="center"/>
          </w:tcPr>
          <w:p w:rsidR="00F5136B" w:rsidRDefault="00F513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5136B" w:rsidRDefault="00F5136B" w:rsidP="00BF5297">
      <w:pPr>
        <w:ind w:right="510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5136B" w:rsidRDefault="00F5136B" w:rsidP="00BF5297">
      <w:pPr>
        <w:ind w:right="510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карты комплаенс-рисков нарушений антимонопольного законодательства администрации Дивеевского муниципального округа Нижегородской области на 2025 год</w:t>
      </w: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Указом Президента Российской Федерации от 21.12.2017 № 618 «Об основных направлениях государственной политики по развитию конкуренции», в целях исполнения постановления администрации Дивеевского муниципального округа от 12.05.2023 № 601 «Об организации внутреннего обеспечения соответствия требованиям антимонопольного законодательства (антимонопольный комплаенс)»:</w:t>
      </w:r>
    </w:p>
    <w:p w:rsidR="00F5136B" w:rsidRDefault="00F5136B" w:rsidP="00BF52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карту комплаенс-рисков нарушения антимонопольного законодательства администрации Дивеевского муниципального округа Нижегородской области на 2025 год согласно приложению к настоящему распоряжению.</w:t>
      </w:r>
    </w:p>
    <w:p w:rsidR="00F5136B" w:rsidRDefault="00F5136B" w:rsidP="00BF52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Информационному сектору отдела организационно-кадровой работы управления делами администрации Дивеевского муниципального округа </w:t>
      </w:r>
      <w:r>
        <w:rPr>
          <w:rFonts w:ascii="Times New Roman" w:hAnsi="Times New Roman"/>
          <w:sz w:val="28"/>
          <w:szCs w:val="28"/>
        </w:rPr>
        <w:lastRenderedPageBreak/>
        <w:t>обеспечить размещение настоящего распоряжения на официальном сайте администрации Дивеевского муниципального округа в информационно-телекоммуникационной сети Интернет.</w:t>
      </w:r>
    </w:p>
    <w:p w:rsidR="00F5136B" w:rsidRDefault="00F5136B" w:rsidP="00BF52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3.Признать утратившим силу распоряжение администрации Дивеевского муниципального округа Нижегородской области от 30.01.2024 № 14-р «Об утверждении карты комплаенс-рисков нарушений антимонопольного законодательства администрации Дивеевского муниципального округа Нижегородской области на 2024 год».</w:t>
      </w:r>
    </w:p>
    <w:p w:rsidR="00F5136B" w:rsidRDefault="00F5136B" w:rsidP="00BF52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распоряжения оставляю за собой.</w:t>
      </w: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С.А.Кучин</w:t>
      </w: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  <w:rPr>
          <w:rFonts w:ascii="Times New Roman" w:hAnsi="Times New Roman"/>
          <w:sz w:val="28"/>
          <w:szCs w:val="28"/>
        </w:rPr>
      </w:pPr>
    </w:p>
    <w:p w:rsidR="00F5136B" w:rsidRDefault="00F5136B" w:rsidP="00BF5297">
      <w:pPr>
        <w:jc w:val="both"/>
      </w:pPr>
      <w:r>
        <w:rPr>
          <w:rFonts w:ascii="Times New Roman" w:hAnsi="Times New Roman"/>
        </w:rPr>
        <w:t>Забродина А.В.</w:t>
      </w:r>
    </w:p>
    <w:p w:rsidR="00F5136B" w:rsidRDefault="00F5136B" w:rsidP="00BF52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Варенцов С.В.</w:t>
      </w:r>
    </w:p>
    <w:p w:rsidR="00F5136B" w:rsidRDefault="00F5136B" w:rsidP="00BF5297">
      <w:pPr>
        <w:rPr>
          <w:rFonts w:ascii="Times New Roman" w:hAnsi="Times New Roman"/>
        </w:rPr>
        <w:sectPr w:rsidR="00F5136B" w:rsidSect="00BF529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</w:rPr>
        <w:t>Герасимова Е.В.</w:t>
      </w:r>
    </w:p>
    <w:p w:rsidR="00F5136B" w:rsidRDefault="00F5136B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F5136B" w:rsidRDefault="00F5136B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 Дивеевского муниципального округа Нижегородской области</w:t>
      </w:r>
    </w:p>
    <w:p w:rsidR="00F5136B" w:rsidRDefault="00F5136B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14.01.2025 № 8-р</w:t>
      </w:r>
    </w:p>
    <w:p w:rsidR="00F5136B" w:rsidRDefault="00F5136B">
      <w:pPr>
        <w:ind w:right="-1"/>
        <w:rPr>
          <w:rFonts w:ascii="Times New Roman" w:hAnsi="Times New Roman"/>
          <w:sz w:val="28"/>
          <w:szCs w:val="28"/>
        </w:rPr>
      </w:pPr>
    </w:p>
    <w:p w:rsidR="00F5136B" w:rsidRDefault="00F5136B">
      <w:pPr>
        <w:ind w:left="-18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комплаенс-рисков нарушения антимонопольного законодательства</w:t>
      </w:r>
    </w:p>
    <w:p w:rsidR="00F5136B" w:rsidRDefault="00F5136B">
      <w:pPr>
        <w:ind w:left="-18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администрации Дивеевского муниципального округа Нижегородской области на 2025 год</w:t>
      </w:r>
    </w:p>
    <w:p w:rsidR="00F5136B" w:rsidRDefault="00F5136B">
      <w:pPr>
        <w:ind w:left="-180"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51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 w:firstRow="0" w:lastRow="0" w:firstColumn="1" w:lastColumn="0" w:noHBand="0" w:noVBand="0"/>
      </w:tblPr>
      <w:tblGrid>
        <w:gridCol w:w="2219"/>
        <w:gridCol w:w="2944"/>
        <w:gridCol w:w="3379"/>
        <w:gridCol w:w="2671"/>
        <w:gridCol w:w="1922"/>
        <w:gridCol w:w="2154"/>
      </w:tblGrid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Уровень риска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риска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(описание)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Причины и условия возникновения (описание)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Общие меры по минимизации и устранению рисков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(отсутствие) остаточных рисков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Вероятность повторного возникновения рисков</w:t>
            </w:r>
          </w:p>
        </w:tc>
      </w:tr>
      <w:tr w:rsidR="00F5136B">
        <w:tc>
          <w:tcPr>
            <w:tcW w:w="15289" w:type="dxa"/>
            <w:gridSpan w:val="6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сфере формирования документов стратегического планирования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Незначительный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правовых актов с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регламентированных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сроков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исполнительной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дисциплины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систематической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проводимых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 по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снижении рисков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Существенный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Принятие нормативных правовых актов, соглашений и осуществление действий (бездействия), которые могут привести к </w:t>
            </w:r>
            <w:r>
              <w:rPr>
                <w:rFonts w:ascii="Times New Roman" w:hAnsi="Times New Roman"/>
                <w:sz w:val="28"/>
              </w:rPr>
              <w:lastRenderedPageBreak/>
              <w:t>недопущению, ограничению или устранению конкуренции. Нарушение антимонопольного законодательства при подготовке проектов локальных актов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Недостаточная координация процесса разработки нормативного правового акта ответственным структурным подразделением, ненадлежащий уровень правовой экспертизы и </w:t>
            </w:r>
            <w:r>
              <w:rPr>
                <w:rFonts w:ascii="Times New Roman" w:hAnsi="Times New Roman"/>
                <w:sz w:val="28"/>
              </w:rPr>
              <w:lastRenderedPageBreak/>
              <w:t>анализа нормативных правовых актов на предмет соответствия нормам антимонопольного законодательства.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Несвоевременное отслеживание изменений законодательства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Повышение уровня квалификации должностных лиц, ответственных за разработку проектов правовых актов; мониторинг и анализ практики применения </w:t>
            </w:r>
            <w:r>
              <w:rPr>
                <w:rFonts w:ascii="Times New Roman" w:hAnsi="Times New Roman"/>
                <w:sz w:val="28"/>
              </w:rPr>
              <w:lastRenderedPageBreak/>
              <w:t>антимонопольного законодательства,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нормативных правовых актов и проектов нормативных правовых актов на наличие рисков нарушения антимонопольного законодательства.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внутренней правовой экспертизы проектов НПА на предмет соответствия антимонопольному законодательству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Незначительный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решений,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нарушающих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единообразие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практики принятия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округа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Недостаточная квалификация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сотрудника.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Некачественная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правовая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экспертиза.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системного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мониторинга 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анализа правовой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базы НПА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округа.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Анализ выявленных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антимонопольного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законодательства 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округа за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предыдущие 3 года;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анализ правовых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актов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округа; 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анализ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проектов правовых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актов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округа; 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систематической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проводимых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 по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снижении рисков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Низкий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 антимонопольного законодательства при подготовке ответов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обращения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 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юридических лиц 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Недостаточный уровень внутреннего контроля, нарушение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исполнительной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дисциплины, нарушение сроков предоставления ответов, непредставление ответов.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Усиление внутреннего контроля; повышение уровня квалификации сотрудников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Высокая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Существенный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Нарушение антимонопольного законодательства при проведении аттестации муниципальных </w:t>
            </w:r>
            <w:r>
              <w:rPr>
                <w:rFonts w:ascii="Times New Roman" w:hAnsi="Times New Roman"/>
                <w:sz w:val="28"/>
              </w:rPr>
              <w:lastRenderedPageBreak/>
              <w:t>служащих, конкурсов на замещение вакантных должностей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Предоставление не предусмотренных законом преимуществ для поступления на муниципальную службу, не объективная оценка </w:t>
            </w:r>
            <w:r>
              <w:rPr>
                <w:rFonts w:ascii="Times New Roman" w:hAnsi="Times New Roman"/>
                <w:sz w:val="28"/>
              </w:rPr>
              <w:lastRenderedPageBreak/>
              <w:t>знаний, завышение или занижение результатов аттестации служащих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уровня квалификации сотрудников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15289" w:type="dxa"/>
            <w:gridSpan w:val="6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В сфере предоставления государственных и муниципальных услуг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Низкий</w:t>
            </w: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 антимонопольного законодательства при оказании муниципальных услуг (нарушение сроков оказания), принятие необоснованных решений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Ошибочный анализ информации (документов); неоднозначность толкования формулировок законодательства, неверное применение административных регламентов оказания муниципальных услуг; ненадлежащий мониторинг изменений законодательства; недостаточное осуществление текущего контроля за действиями (бездействием) и решениями, осуществляемыми (принимаемыми) при предоставлении муниципальных услуг;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исполнительной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дисциплины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Предоставление возможности досудебного обжалования действий (бездействия) и принятых решений в ходе оказания муниципальных услуг;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проведение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систематической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проводимых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 по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снижении рисков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Низкий 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Отказ 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услуг по основаниям,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предусмотренным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действующим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законодательством</w:t>
            </w:r>
          </w:p>
          <w:p w:rsidR="00F5136B" w:rsidRDefault="00F5136B">
            <w:pPr>
              <w:ind w:right="-1"/>
              <w:jc w:val="center"/>
            </w:pP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Недостаточная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квалификация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сотрудника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Усиления контроля за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муниципальных услуг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Существенный 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документов,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непредусмотренных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действующим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законодательством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оказании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услуг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единообразия,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преимуществ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отдельным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хозяйствующим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субъектам;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Несоблюдение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установленных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Недостаточная квалификация и опыт сотрудников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административных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регламентов;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и анализ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Остаточный риск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15289" w:type="dxa"/>
            <w:gridSpan w:val="6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сфере закупок товаров, работ, услуг для обеспечения государственных и муниципальных нужд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Существенный</w:t>
            </w:r>
          </w:p>
        </w:tc>
        <w:tc>
          <w:tcPr>
            <w:tcW w:w="2944" w:type="dxa"/>
          </w:tcPr>
          <w:p w:rsidR="00F5136B" w:rsidRDefault="00F5136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Нарушение антимонопольного законодательства при осуществлении закупок товаров, </w:t>
            </w:r>
            <w:r>
              <w:rPr>
                <w:rFonts w:ascii="Times New Roman" w:hAnsi="Times New Roman"/>
                <w:sz w:val="28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Нарушения при утверждении извещения о закупке, документации о закрытой закупке, повлекшие за собой </w:t>
            </w:r>
            <w:r>
              <w:rPr>
                <w:rFonts w:ascii="Times New Roman" w:hAnsi="Times New Roman"/>
                <w:sz w:val="28"/>
              </w:rPr>
              <w:lastRenderedPageBreak/>
              <w:t>нарушение антимонопольного законодательства.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 при выборе способа определения поставщика (подрядчика, исполнителя), повлекшее за собой нарушение антимонопольного законодательства.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Нарушение при осуществлении закупок товаров, работ, услуг у единственного поставщика (подрядчика, исполнителя) по пунктам 4,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(«дробление» закупок товаров, работ, услуг с целью заключения контрактов с </w:t>
            </w:r>
            <w:r>
              <w:rPr>
                <w:rFonts w:ascii="Times New Roman" w:hAnsi="Times New Roman"/>
                <w:sz w:val="28"/>
              </w:rPr>
              <w:lastRenderedPageBreak/>
              <w:t>единственным поставщиком (подрядчиком, исполнителем); заключение контрактов с единственным поставщиком (подрядчиком, исполнителем) без публикации извещения о закупках товаров, работ, услуг по основаниям, не предусмотренным законом).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Нарушение цифровых правил при осуществлении закупок товаров, работ, услуг (невключение в электронное извещение информации об ответственности участника закупки за нарушение антимонопольных требований; требование от участников закупки дополнительных документов, при наличии </w:t>
            </w:r>
            <w:r>
              <w:rPr>
                <w:rFonts w:ascii="Times New Roman" w:hAnsi="Times New Roman"/>
                <w:sz w:val="28"/>
              </w:rPr>
              <w:lastRenderedPageBreak/>
              <w:t>сведений в открытых электронных реестрах; неиспользование КТРУ при описании объекта закупки; ошибки при формировании структурированного техзадания, которые повлекли техническую блокировку формирования заявки поставщиком; требование от поставщика бумажных закрывающих документов при электроприемке, неприменение электронной формы претензионной работы, нарушение сроков автоплатежа.</w:t>
            </w: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Регулярное обучение специалистов контрактной службы, </w:t>
            </w:r>
            <w:r>
              <w:rPr>
                <w:rFonts w:ascii="Times New Roman" w:hAnsi="Times New Roman"/>
                <w:sz w:val="28"/>
              </w:rPr>
              <w:lastRenderedPageBreak/>
              <w:t>контрактных управляющих, специалистов структурных подразделений администрации; проведение совещаний по вопросу изменений в законодательстве.</w:t>
            </w:r>
          </w:p>
          <w:p w:rsidR="00F5136B" w:rsidRDefault="00F513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Усиление контроля за подготовкой закупки на стадии согласования.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практики ФАС 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целях изучения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нарушений по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закупкам. Ошибочное применение специалистами контрактной службы, контрактными управляющими, специалистами структурных подразделений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норм антимонопольного законодательства, недостаточная квалификация у специалистов. Отсутствие или недостаточно качественная правовая экспертиза.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Риски маловероятны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15289" w:type="dxa"/>
            <w:gridSpan w:val="6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В сфере управления муниципальным имуществом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Существенный </w:t>
            </w:r>
          </w:p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</w:p>
          <w:p w:rsidR="00F5136B" w:rsidRDefault="00F5136B">
            <w:pPr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 порядка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заключения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договоров 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отношении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имущества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Недостаточная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квалификация.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исполнительной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дисциплины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Усиления контроля за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порядком проведения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конкурса 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документации</w:t>
            </w: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Остаточный риск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</w:tr>
      <w:tr w:rsidR="00F5136B">
        <w:tc>
          <w:tcPr>
            <w:tcW w:w="15289" w:type="dxa"/>
            <w:gridSpan w:val="6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сфере инвестиций и предпринимательской деятельности</w:t>
            </w:r>
          </w:p>
        </w:tc>
      </w:tr>
      <w:tr w:rsidR="00F5136B">
        <w:tc>
          <w:tcPr>
            <w:tcW w:w="221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Существенный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4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НПА,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затрагивающих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инвестиционной 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предпринимательской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 с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нарушениями,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вводящими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избыточные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обязанности, запреты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ограничения для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хозяйствующих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субъектов</w:t>
            </w:r>
          </w:p>
        </w:tc>
        <w:tc>
          <w:tcPr>
            <w:tcW w:w="3379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Недостаточное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действующего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законодательства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Несоблюдение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установленных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процедур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1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оценки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регулирующего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воздействия проектов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нормативно-правовых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актов и экспертизы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нормативно-правовых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актов</w:t>
            </w:r>
          </w:p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22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</w:t>
            </w:r>
          </w:p>
        </w:tc>
        <w:tc>
          <w:tcPr>
            <w:tcW w:w="2154" w:type="dxa"/>
          </w:tcPr>
          <w:p w:rsidR="00F5136B" w:rsidRDefault="00F5136B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Минимальная</w:t>
            </w:r>
          </w:p>
        </w:tc>
      </w:tr>
    </w:tbl>
    <w:p w:rsidR="00F5136B" w:rsidRDefault="00F5136B"/>
    <w:sectPr w:rsidR="00F5136B" w:rsidSect="00BF529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97B" w:rsidRDefault="00BC097B">
      <w:r>
        <w:separator/>
      </w:r>
    </w:p>
  </w:endnote>
  <w:endnote w:type="continuationSeparator" w:id="0">
    <w:p w:rsidR="00BC097B" w:rsidRDefault="00BC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97B" w:rsidRDefault="00BC097B">
      <w:r>
        <w:separator/>
      </w:r>
    </w:p>
  </w:footnote>
  <w:footnote w:type="continuationSeparator" w:id="0">
    <w:p w:rsidR="00BC097B" w:rsidRDefault="00BC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6B" w:rsidRDefault="00F5136B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5136B" w:rsidRDefault="00F5136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6B" w:rsidRDefault="00F5136B">
    <w:pPr>
      <w:pStyle w:val="ab"/>
      <w:framePr w:wrap="around" w:vAnchor="text" w:hAnchor="margin" w:xAlign="center" w:y="1"/>
      <w:jc w:val="center"/>
      <w:rPr>
        <w:rStyle w:val="afa"/>
        <w:rFonts w:ascii="Times New Roman" w:hAnsi="Times New Roman"/>
      </w:rPr>
    </w:pPr>
    <w:r>
      <w:rPr>
        <w:rStyle w:val="afa"/>
        <w:rFonts w:ascii="Times New Roman" w:hAnsi="Times New Roman"/>
      </w:rPr>
      <w:fldChar w:fldCharType="begin"/>
    </w:r>
    <w:r>
      <w:rPr>
        <w:rStyle w:val="afa"/>
        <w:rFonts w:ascii="Times New Roman" w:hAnsi="Times New Roman"/>
      </w:rPr>
      <w:instrText xml:space="preserve">PAGE  </w:instrText>
    </w:r>
    <w:r>
      <w:rPr>
        <w:rStyle w:val="afa"/>
        <w:rFonts w:ascii="Times New Roman" w:hAnsi="Times New Roman"/>
      </w:rPr>
      <w:fldChar w:fldCharType="separate"/>
    </w:r>
    <w:r w:rsidR="00461E1C">
      <w:rPr>
        <w:rStyle w:val="afa"/>
        <w:rFonts w:ascii="Times New Roman" w:hAnsi="Times New Roman"/>
        <w:noProof/>
      </w:rPr>
      <w:t>11</w:t>
    </w:r>
    <w:r>
      <w:rPr>
        <w:rStyle w:val="afa"/>
        <w:rFonts w:ascii="Times New Roman" w:hAnsi="Times New Roman"/>
      </w:rPr>
      <w:fldChar w:fldCharType="end"/>
    </w:r>
  </w:p>
  <w:p w:rsidR="00F5136B" w:rsidRDefault="00F5136B">
    <w:pPr>
      <w:pStyle w:val="ab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E3"/>
    <w:rsid w:val="00174293"/>
    <w:rsid w:val="001F3EFE"/>
    <w:rsid w:val="00461E1C"/>
    <w:rsid w:val="00463020"/>
    <w:rsid w:val="007D528B"/>
    <w:rsid w:val="008312E3"/>
    <w:rsid w:val="009B2470"/>
    <w:rsid w:val="00BC097B"/>
    <w:rsid w:val="00BF5297"/>
    <w:rsid w:val="00F5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671B6F-1640-4065-8CC4-3EF289C6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8B"/>
    <w:rPr>
      <w:rFonts w:ascii="Arial" w:hAnsi="Arial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D528B"/>
    <w:pPr>
      <w:keepNext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D528B"/>
    <w:pPr>
      <w:keepNext/>
      <w:jc w:val="center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9"/>
    <w:qFormat/>
    <w:rsid w:val="007D528B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7D528B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D528B"/>
    <w:pPr>
      <w:keepNext/>
      <w:keepLines/>
      <w:spacing w:before="320" w:after="200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uiPriority w:val="99"/>
    <w:qFormat/>
    <w:rsid w:val="007D528B"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D528B"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7D528B"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7D528B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528B"/>
    <w:rPr>
      <w:rFonts w:ascii="Arial" w:eastAsia="Times New Roman" w:hAnsi="Arial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7D528B"/>
    <w:rPr>
      <w:rFonts w:ascii="Arial" w:eastAsia="Times New Roman" w:hAnsi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7D528B"/>
    <w:rPr>
      <w:rFonts w:ascii="Arial" w:eastAsia="Times New Roman" w:hAnsi="Arial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7D528B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7D528B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7D528B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7D528B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7D528B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7D528B"/>
    <w:rPr>
      <w:rFonts w:ascii="Arial" w:eastAsia="Times New Roman" w:hAnsi="Arial"/>
      <w:i/>
      <w:sz w:val="21"/>
    </w:rPr>
  </w:style>
  <w:style w:type="paragraph" w:styleId="a3">
    <w:name w:val="List Paragraph"/>
    <w:basedOn w:val="a"/>
    <w:uiPriority w:val="99"/>
    <w:qFormat/>
    <w:rsid w:val="007D528B"/>
    <w:pPr>
      <w:ind w:left="720"/>
      <w:contextualSpacing/>
    </w:pPr>
  </w:style>
  <w:style w:type="paragraph" w:styleId="a4">
    <w:name w:val="No Spacing"/>
    <w:uiPriority w:val="99"/>
    <w:qFormat/>
    <w:rsid w:val="007D528B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7D528B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locked/>
    <w:rsid w:val="007D528B"/>
    <w:rPr>
      <w:sz w:val="48"/>
    </w:rPr>
  </w:style>
  <w:style w:type="paragraph" w:styleId="a7">
    <w:name w:val="Subtitle"/>
    <w:basedOn w:val="a"/>
    <w:next w:val="a"/>
    <w:link w:val="a8"/>
    <w:uiPriority w:val="99"/>
    <w:qFormat/>
    <w:rsid w:val="007D528B"/>
    <w:pPr>
      <w:spacing w:before="200" w:after="200"/>
    </w:pPr>
    <w:rPr>
      <w:rFonts w:ascii="Times New Roman" w:hAnsi="Times New Roman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7D528B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7D528B"/>
    <w:pPr>
      <w:ind w:left="720" w:right="720"/>
    </w:pPr>
    <w:rPr>
      <w:rFonts w:ascii="Times New Roman" w:hAnsi="Times New Roman"/>
      <w:i/>
      <w:sz w:val="20"/>
    </w:rPr>
  </w:style>
  <w:style w:type="character" w:customStyle="1" w:styleId="22">
    <w:name w:val="Цитата 2 Знак"/>
    <w:basedOn w:val="a0"/>
    <w:link w:val="21"/>
    <w:uiPriority w:val="99"/>
    <w:locked/>
    <w:rsid w:val="007D528B"/>
    <w:rPr>
      <w:i/>
    </w:rPr>
  </w:style>
  <w:style w:type="paragraph" w:styleId="a9">
    <w:name w:val="Intense Quote"/>
    <w:basedOn w:val="a"/>
    <w:next w:val="a"/>
    <w:link w:val="aa"/>
    <w:uiPriority w:val="99"/>
    <w:qFormat/>
    <w:rsid w:val="007D52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7D528B"/>
    <w:rPr>
      <w:i/>
    </w:rPr>
  </w:style>
  <w:style w:type="paragraph" w:styleId="ab">
    <w:name w:val="header"/>
    <w:basedOn w:val="a"/>
    <w:link w:val="ac"/>
    <w:uiPriority w:val="99"/>
    <w:rsid w:val="007D52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D528B"/>
  </w:style>
  <w:style w:type="paragraph" w:styleId="ad">
    <w:name w:val="footer"/>
    <w:basedOn w:val="a"/>
    <w:link w:val="ae"/>
    <w:uiPriority w:val="99"/>
    <w:rsid w:val="007D52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rsid w:val="007D528B"/>
  </w:style>
  <w:style w:type="paragraph" w:styleId="af">
    <w:name w:val="caption"/>
    <w:basedOn w:val="a"/>
    <w:next w:val="a"/>
    <w:uiPriority w:val="99"/>
    <w:qFormat/>
    <w:rsid w:val="007D528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7D528B"/>
  </w:style>
  <w:style w:type="table" w:styleId="af0">
    <w:name w:val="Table Grid"/>
    <w:basedOn w:val="a1"/>
    <w:uiPriority w:val="99"/>
    <w:rsid w:val="007D528B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D528B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7D528B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D528B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D52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D528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7D528B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7D528B"/>
    <w:pPr>
      <w:spacing w:after="40"/>
    </w:pPr>
    <w:rPr>
      <w:rFonts w:ascii="Times New Roman" w:hAnsi="Times New Roman"/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7D528B"/>
    <w:rPr>
      <w:sz w:val="18"/>
    </w:rPr>
  </w:style>
  <w:style w:type="character" w:styleId="af4">
    <w:name w:val="footnote reference"/>
    <w:basedOn w:val="a0"/>
    <w:uiPriority w:val="99"/>
    <w:rsid w:val="007D528B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7D528B"/>
    <w:rPr>
      <w:rFonts w:ascii="Times New Roman" w:hAnsi="Times New Roman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7D528B"/>
    <w:rPr>
      <w:sz w:val="20"/>
    </w:rPr>
  </w:style>
  <w:style w:type="character" w:styleId="af7">
    <w:name w:val="endnote reference"/>
    <w:basedOn w:val="a0"/>
    <w:uiPriority w:val="99"/>
    <w:semiHidden/>
    <w:rsid w:val="007D528B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7D528B"/>
    <w:pPr>
      <w:spacing w:after="57"/>
    </w:pPr>
  </w:style>
  <w:style w:type="paragraph" w:styleId="23">
    <w:name w:val="toc 2"/>
    <w:basedOn w:val="a"/>
    <w:next w:val="a"/>
    <w:uiPriority w:val="99"/>
    <w:rsid w:val="007D528B"/>
    <w:pPr>
      <w:spacing w:after="57"/>
      <w:ind w:left="283"/>
    </w:pPr>
  </w:style>
  <w:style w:type="paragraph" w:styleId="32">
    <w:name w:val="toc 3"/>
    <w:basedOn w:val="a"/>
    <w:next w:val="a"/>
    <w:uiPriority w:val="99"/>
    <w:rsid w:val="007D528B"/>
    <w:pPr>
      <w:spacing w:after="57"/>
      <w:ind w:left="567"/>
    </w:pPr>
  </w:style>
  <w:style w:type="paragraph" w:styleId="42">
    <w:name w:val="toc 4"/>
    <w:basedOn w:val="a"/>
    <w:next w:val="a"/>
    <w:uiPriority w:val="99"/>
    <w:rsid w:val="007D528B"/>
    <w:pPr>
      <w:spacing w:after="57"/>
      <w:ind w:left="850"/>
    </w:pPr>
  </w:style>
  <w:style w:type="paragraph" w:styleId="52">
    <w:name w:val="toc 5"/>
    <w:basedOn w:val="a"/>
    <w:next w:val="a"/>
    <w:uiPriority w:val="99"/>
    <w:rsid w:val="007D528B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7D528B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7D528B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7D528B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7D528B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7D528B"/>
    <w:pPr>
      <w:keepNext w:val="0"/>
      <w:jc w:val="left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rsid w:val="007D528B"/>
  </w:style>
  <w:style w:type="character" w:styleId="afa">
    <w:name w:val="page number"/>
    <w:basedOn w:val="a0"/>
    <w:uiPriority w:val="99"/>
    <w:rsid w:val="007D52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карты комплаенс-рисков нарушений антимонопольного законодательства и плана мероприятий («дорожной карты») по снижению рисков нарушения антимонопольного законодательства в администрации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карты комплаенс-рисков нарушений антимонопольного законодательства и плана мероприятий («дорожной карты») по снижению рисков нарушения антимонопольного законодательства в администрации Дивеевского муниципального округа Нижегородской области</dc:title>
  <dc:subject>Распоряжение</dc:subject>
  <dc:creator>Николай Владимирович Москалёв</dc:creator>
  <cp:keywords/>
  <dc:description/>
  <cp:lastModifiedBy>User</cp:lastModifiedBy>
  <cp:revision>2</cp:revision>
  <dcterms:created xsi:type="dcterms:W3CDTF">2026-02-09T12:57:00Z</dcterms:created>
  <dcterms:modified xsi:type="dcterms:W3CDTF">2026-02-09T12:57:00Z</dcterms:modified>
</cp:coreProperties>
</file>